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B22234"/>
          <w:spacing w:val="30"/>
          <w:sz w:val="17"/>
          <w:szCs w:val="17"/>
        </w:rPr>
        <w:t xml:space="preserve">HARRISON'S HEROES · PEARL HARBOR VR EXPERIENCE</w:t>
      </w:r>
    </w:p>
    <w:p>
      <w:pPr>
        <w:spacing w:after="40"/>
      </w:pPr>
      <w:r>
        <w:rPr>
          <w:rFonts w:ascii="Georgia" w:cs="Georgia" w:eastAsia="Georgia" w:hAnsi="Georgia"/>
          <w:b/>
          <w:bCs/>
          <w:color w:val="0A1628"/>
          <w:sz w:val="52"/>
          <w:szCs w:val="52"/>
        </w:rPr>
        <w:t xml:space="preserve">Standards Alignment</w:t>
      </w:r>
    </w:p>
    <w:p>
      <w:pPr>
        <w:spacing w:after="0"/>
      </w:pPr>
      <w:r>
        <w:rPr>
          <w:rFonts w:ascii="Arial" w:cs="Arial" w:eastAsia="Arial" w:hAnsi="Arial"/>
          <w:color w:val="555555"/>
          <w:sz w:val="21"/>
          <w:szCs w:val="21"/>
        </w:rPr>
        <w:t xml:space="preserve">NCSS themes and CCSS literacy standards, grades 6–8</w:t>
      </w:r>
    </w:p>
    <w:p>
      <w:pPr>
        <w:pBdr>
          <w:bottom w:val="single" w:color="B22234" w:sz="18" w:space="1"/>
        </w:pBdr>
        <w:spacing w:after="240" w:before="60"/>
      </w:pPr>
    </w:p>
    <w:p>
      <w:pPr>
        <w:spacing w:after="140" w:before="0"/>
      </w:pPr>
      <w:r>
        <w:t xml:space="preserve">This document maps the Harrison's Heroes Pearl Harbor VR Experience and its companion curriculum to the National Council for the Social Studies (NCSS) curriculum themes and the Common Core State Standards (CCSS) for Literacy in History/Social Studies, grades 6–8. Both frameworks are national; the alignment applies in all fifty states. Hand this document to your curriculum coordinator alongside the lesson plan.</w:t>
      </w:r>
    </w:p>
    <w:p>
      <w:pPr>
        <w:pStyle w:val="Heading1"/>
      </w:pPr>
      <w:r>
        <w:t xml:space="preserve">NCSS curriculum themes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00"/>
        <w:gridCol w:w="6780"/>
      </w:tblGrid>
      <w:tr>
        <w:tc>
          <w:tcPr>
            <w:tcW w:type="dxa" w:w="33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19"/>
                <w:szCs w:val="19"/>
              </w:rPr>
              <w:t xml:space="preserve">NCSS theme</w:t>
            </w:r>
          </w:p>
        </w:tc>
        <w:tc>
          <w:tcPr>
            <w:tcW w:type="dxa" w:w="678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19"/>
                <w:szCs w:val="19"/>
              </w:rPr>
              <w:t xml:space="preserve">Where the lesson addresses it</w:t>
            </w:r>
          </w:p>
        </w:tc>
      </w:tr>
      <w:tr>
        <w:tc>
          <w:tcPr>
            <w:tcW w:type="dxa" w:w="3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2 — Time, Continuity, and Change</w:t>
            </w:r>
          </w:p>
        </w:tc>
        <w:tc>
          <w:tcPr>
            <w:tcW w:type="dxa" w:w="6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Students reconstruct the December 7 timeline (Phase 1), encounter the event directly (Phase 2), and analyze how its meaning has changed across eight decades (Phase 3, connection level).</w:t>
            </w:r>
          </w:p>
        </w:tc>
      </w:tr>
      <w:tr>
        <w:tc>
          <w:tcPr>
            <w:tcW w:type="dxa" w:w="3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3 — People, Places, and Environments</w:t>
            </w:r>
          </w:p>
        </w:tc>
        <w:tc>
          <w:tcPr>
            <w:tcW w:type="dxa" w:w="6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Pacific theater and Pearl Harbor base maps anchor the event geographically; students reason about distance, geography, and why location shaped the attack.</w:t>
            </w:r>
          </w:p>
        </w:tc>
      </w:tr>
      <w:tr>
        <w:tc>
          <w:tcPr>
            <w:tcW w:type="dxa" w:w="3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4 — Individual Development and Identity</w:t>
            </w:r>
          </w:p>
        </w:tc>
        <w:tc>
          <w:tcPr>
            <w:tcW w:type="dxa" w:w="6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Testimony cards present six individuals whose ages and roles students can compare with their own lives; journal Part 4 asks students to re-examine their definition of heroism.</w:t>
            </w:r>
          </w:p>
        </w:tc>
      </w:tr>
      <w:tr>
        <w:tc>
          <w:tcPr>
            <w:tcW w:type="dxa" w:w="3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6 — Power, Authority, and Governance</w:t>
            </w:r>
          </w:p>
        </w:tc>
        <w:tc>
          <w:tcPr>
            <w:tcW w:type="dxa" w:w="6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Discussion prompts on the U.S. declaration of war, military preparedness, and the treatment of Japanese American civilians after the attack.</w:t>
            </w:r>
          </w:p>
        </w:tc>
      </w:tr>
      <w:tr>
        <w:tc>
          <w:tcPr>
            <w:tcW w:type="dxa" w:w="3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8 — Science, Technology, and Society</w:t>
            </w:r>
          </w:p>
        </w:tc>
        <w:tc>
          <w:tcPr>
            <w:tcW w:type="dxa" w:w="6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Students reflect explicitly on experiencing history through virtual reality and how the medium shapes understanding (connection card 15).</w:t>
            </w:r>
          </w:p>
        </w:tc>
      </w:tr>
      <w:tr>
        <w:tc>
          <w:tcPr>
            <w:tcW w:type="dxa" w:w="3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9 — Global Connections</w:t>
            </w:r>
          </w:p>
        </w:tc>
        <w:tc>
          <w:tcPr>
            <w:tcW w:type="dxa" w:w="6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The lesson situates Pearl Harbor within the Pacific theater and the global scale of the Second World War.</w:t>
            </w:r>
          </w:p>
        </w:tc>
      </w:tr>
    </w:tbl>
    <w:p>
      <w:r>
        <w:br w:type="page"/>
      </w:r>
    </w:p>
    <w:p>
      <w:pPr>
        <w:pStyle w:val="Heading1"/>
      </w:pPr>
      <w:r>
        <w:t xml:space="preserve">CCSS literacy in history/social studies, grades 6–8</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4100"/>
        <w:gridCol w:w="4480"/>
      </w:tblGrid>
      <w:tr>
        <w:tc>
          <w:tcPr>
            <w:tcW w:type="dxa" w:w="15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19"/>
                <w:szCs w:val="19"/>
              </w:rPr>
              <w:t xml:space="preserve">Standard</w:t>
            </w:r>
          </w:p>
        </w:tc>
        <w:tc>
          <w:tcPr>
            <w:tcW w:type="dxa" w:w="41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c>
          <w:tcPr>
            <w:tcW w:type="dxa" w:w="448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19"/>
                <w:szCs w:val="19"/>
              </w:rPr>
              <w:t xml:space="preserve">Where the lesson addresses it</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RH.6-8.1</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Cite specific textual evidence to support analysis of primary and secondary sources.</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Students cite testimony cards in discussion; grade 8 written claim requires cited evidence.</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RH.6-8.2</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Determine the central ideas of a primary or secondary source.</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Journal Part 2 asks students to identify the defining detail of each testimony they read.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RH.6-8.4</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Determine the meaning of words and phrases as used in a text.</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Testimony vocabulary in period context (listing, flight line, blackout) addressed during reading.</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RH.6-8.6</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Identify aspects of a text that reveal an author's point of view or purpose.</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Students compare two testimonies of the same morning and account for their differences.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RH.6-8.7</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Integrate visual information with other information in print and digital texts.</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Students integrate maps, timeline, immersive VR, and written testimony into one account of the event.</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RH.6-8.9</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Analyze the relationship between a primary and secondary source on the same topic.</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Grade 8 differentiation: groups assess the reliability of paired testimonies against the documented record.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WHST.6-8.1</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Write arguments focused on discipline-specific content.</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Grade 8 closing task: one paragraph with claim, evidence, and counterpoint.</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WHST.6-8.10</w:t>
            </w:r>
          </w:p>
        </w:tc>
        <w:tc>
          <w:tcPr>
            <w:tcW w:type="dxa" w:w="4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Write routinely over shorter time frames for discipline-specific purposes.</w:t>
            </w:r>
          </w:p>
        </w:tc>
        <w:tc>
          <w:tcPr>
            <w:tcW w:type="dxa" w:w="4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Four timed journal entries across a single 90-minute lesson.</w:t>
            </w:r>
          </w:p>
        </w:tc>
      </w:tr>
    </w:tbl>
    <w:p>
      <w:pPr>
        <w:pStyle w:val="Heading1"/>
      </w:pPr>
      <w:r>
        <w:t xml:space="preserve">Assessment evidence</w:t>
      </w:r>
    </w:p>
    <w:p>
      <w:pPr>
        <w:spacing w:after="140" w:before="0"/>
      </w:pPr>
      <w:r>
        <w:t xml:space="preserve">The student journal provides a complete written record for portfolio or gradebook purposes: prior knowledge (Part 1), source work (Part 2), observation (Part 3), and synthesis with an original historical question (Part 4). The My Question card is the lesson's summative artifact and is assessed on specificity and historical grounding.</w:t>
      </w:r>
    </w:p>
    <w:p>
      <w:pPr>
        <w:pBdr>
          <w:top w:val="single" w:color="CCCCCC" w:sz="6" w:space="6"/>
        </w:pBdr>
        <w:spacing w:before="360"/>
      </w:pPr>
      <w:r>
        <w:rPr>
          <w:rFonts w:ascii="Arial" w:cs="Arial" w:eastAsia="Arial" w:hAnsi="Arial"/>
          <w:color w:val="555555"/>
          <w:sz w:val="16"/>
          <w:szCs w:val="16"/>
        </w:rPr>
        <w:t xml:space="preserve">Harrison's Heroes  ·  harrisonjohnsonsheroes.com  ·  hj@harrisonjohnsonsheroes.com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Georgia" w:cs="Georgia" w:eastAsia="Georgia" w:hAnsi="Georgia"/>
      <w:b/>
      <w:bCs/>
      <w:color w:val="0A1628"/>
      <w:sz w:val="34"/>
      <w:szCs w:val="34"/>
    </w:rPr>
  </w:style>
  <w:style w:type="paragraph" w:styleId="Heading2">
    <w:name w:val="Heading 2"/>
    <w:basedOn w:val="Normal"/>
    <w:next w:val="Normal"/>
    <w:qFormat/>
    <w:pPr>
      <w:spacing w:after="120" w:before="280"/>
      <w:outlineLvl w:val="1"/>
    </w:pPr>
    <w:rPr>
      <w:rFonts w:ascii="Georgia" w:cs="Georgia" w:eastAsia="Georgia" w:hAnsi="Georgia"/>
      <w:b/>
      <w:bCs/>
      <w:color w:val="0A162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2026-06-11T00:21:19.769Z</dcterms:created>
  <dcterms:modified xsi:type="dcterms:W3CDTF">2026-06-11T00:21:19.770Z</dcterms:modified>
</cp:coreProperties>
</file>

<file path=docProps/custom.xml><?xml version="1.0" encoding="utf-8"?>
<Properties xmlns="http://schemas.openxmlformats.org/officeDocument/2006/custom-properties" xmlns:vt="http://schemas.openxmlformats.org/officeDocument/2006/docPropsVTypes"/>
</file>