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B22234"/>
          <w:spacing w:val="30"/>
          <w:sz w:val="17"/>
          <w:szCs w:val="17"/>
        </w:rPr>
        <w:t xml:space="preserve">HARRISON'S HEROES · PEARL HARBOR VR EXPERIENCE</w:t>
      </w:r>
    </w:p>
    <w:p>
      <w:pPr>
        <w:spacing w:after="40"/>
      </w:pPr>
      <w:r>
        <w:rPr>
          <w:rFonts w:ascii="Georgia" w:cs="Georgia" w:eastAsia="Georgia" w:hAnsi="Georgia"/>
          <w:b/>
          <w:bCs/>
          <w:color w:val="0A1628"/>
          <w:sz w:val="52"/>
          <w:szCs w:val="52"/>
        </w:rPr>
        <w:t xml:space="preserve">Testimony Cards</w:t>
      </w:r>
    </w:p>
    <w:p>
      <w:pPr>
        <w:spacing w:after="0"/>
      </w:pPr>
      <w:r>
        <w:rPr>
          <w:rFonts w:ascii="Arial" w:cs="Arial" w:eastAsia="Arial" w:hAnsi="Arial"/>
          <w:color w:val="555555"/>
          <w:sz w:val="21"/>
          <w:szCs w:val="21"/>
        </w:rPr>
        <w:t xml:space="preserve">Six first-person accounts of December 7, 1941 — read while waiting for the headset</w:t>
      </w:r>
    </w:p>
    <w:p>
      <w:pPr>
        <w:pBdr>
          <w:bottom w:val="single" w:color="B22234" w:sz="18" w:space="1"/>
        </w:pBdr>
        <w:spacing w:after="240" w:before="60"/>
      </w:pPr>
    </w:p>
    <w:p>
      <w:pPr>
        <w:spacing w:after="140" w:before="0"/>
      </w:pPr>
      <w:r>
        <w:t xml:space="preserve">A note for educators: these six accounts are composite narratives. Each is grounded in the documented experiences of real people at Pearl Harbor — drawn from oral histories, official records, and survivor interviews — and written in a single first-person voice so students can read them in two to three minutes. They represent roles, not named individuals: the events described are historical; the narrators are representative. Print single-sided and cut; each student reads two cards during the experience rotation.</w:t>
      </w:r>
    </w:p>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ONE — A SAILOR, USS OKLAHOMA</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I was below decks writing a letter home when the first torpedo hit. The deck did not shake — it jumped, like the whole ship had been picked up and dropped. By the third hit we were already listing so far that the ladder I climbed was nearly sideways. Men were coming up from below soaking wet in the dark, calling out names. When I reached the air, the harbor I had seen every morning for a year was gone — in its place was smoke from one end of the water to the other. I was nineteen. I remember thinking that I had not finished my letter, and then I remember swimming.</w:t>
            </w:r>
          </w:p>
          <w:p>
            <w:pPr>
              <w:spacing w:after="20"/>
            </w:pPr>
            <w:r>
              <w:rPr>
                <w:b/>
                <w:bCs/>
                <w:color w:val="B22234"/>
              </w:rPr>
              <w:t xml:space="preserve">Reflect: </w:t>
            </w:r>
          </w:p>
          <w:p>
            <w:r>
              <w:rPr>
                <w:i/>
                <w:iCs/>
                <w:sz w:val="22"/>
                <w:szCs w:val="22"/>
              </w:rPr>
              <w:t xml:space="preserve">He recalls an unfinished letter in the middle of a catastrophe. Why do you think small details like that survive in memory when so much else blurs?</w:t>
            </w:r>
          </w:p>
        </w:tc>
      </w:tr>
    </w:tbl>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TWO — A NAVY NURSE, NAVAL HOSPITAL PEARL HARBOR</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We heard the planes before we understood them. Within twenty minutes the first burned men were at our doors, and they did not stop coming for two days. We ran out of beds, then out of hallway, then we treated men on the lawn. No one had trained us for numbers like that, so we invented the system as we went — lipstick to mark foreheads of the men who had been given morphine, so no one was dosed twice. I was twenty-three years old and I aged ten years before lunch. What I remember most is how quiet the wounded were. They watched us work and they thanked us, and some of them apologized for the trouble.</w:t>
            </w:r>
          </w:p>
          <w:p>
            <w:pPr>
              <w:spacing w:after="20"/>
            </w:pPr>
            <w:r>
              <w:rPr>
                <w:b/>
                <w:bCs/>
                <w:color w:val="B22234"/>
              </w:rPr>
              <w:t xml:space="preserve">Reflect: </w:t>
            </w:r>
          </w:p>
          <w:p>
            <w:r>
              <w:rPr>
                <w:i/>
                <w:iCs/>
                <w:sz w:val="22"/>
                <w:szCs w:val="22"/>
              </w:rPr>
              <w:t xml:space="preserve">The nurse describes inventing procedures in the moment. What does her account tell you that an official report of the same hospital probably would not?</w:t>
            </w:r>
          </w:p>
        </w:tc>
      </w:tr>
    </w:tbl>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THREE — AN ARMY OFFICER, WHEELER FIELD</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Our aircraft were parked wingtip to wingtip in neat rows — we had lined them up that way to guard against sabotage from the ground, and from the air it made them one long target. I stood on the flight line and watched years of preparation burn in minutes, and there was almost nothing to do but get men to cover and count. Later, people would ask how we were caught so unready. I have thought about it every day since. We were not lazy and we were not fools. We were defending against the threat we imagined instead of the one that came. That is the lesson I would put in every classroom.</w:t>
            </w:r>
          </w:p>
          <w:p>
            <w:pPr>
              <w:spacing w:after="20"/>
            </w:pPr>
            <w:r>
              <w:rPr>
                <w:b/>
                <w:bCs/>
                <w:color w:val="B22234"/>
              </w:rPr>
              <w:t xml:space="preserve">Reflect: </w:t>
            </w:r>
          </w:p>
          <w:p>
            <w:r>
              <w:rPr>
                <w:i/>
                <w:iCs/>
                <w:sz w:val="22"/>
                <w:szCs w:val="22"/>
              </w:rPr>
              <w:t xml:space="preserve">The officer says they prepared for the wrong threat. Can you think of another time — in history or in your own life — when preparing for the wrong problem made things worse?</w:t>
            </w:r>
          </w:p>
        </w:tc>
      </w:tr>
    </w:tbl>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FOUR — A CIVILIAN, HONOLULU</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It was a Sunday, and Sundays had a sound — church bells, radios, kids in the street. The explosions came from the direction of the harbor and at first the grown-ups said it was a drill, because the Navy was always drilling. Then a neighbor ran up the street shouting that it was real, and the day split in two: everything before, everything after. By nightfall there were blackout curtains on every window and my mother was burying her letters from relatives in Japan in the backyard, because she was afraid of what they might mean now. I was eleven. I did not understand everything that changed that day, but I understood that it had.</w:t>
            </w:r>
          </w:p>
          <w:p>
            <w:pPr>
              <w:spacing w:after="20"/>
            </w:pPr>
            <w:r>
              <w:rPr>
                <w:b/>
                <w:bCs/>
                <w:color w:val="B22234"/>
              </w:rPr>
              <w:t xml:space="preserve">Reflect: </w:t>
            </w:r>
          </w:p>
          <w:p>
            <w:r>
              <w:rPr>
                <w:i/>
                <w:iCs/>
                <w:sz w:val="22"/>
                <w:szCs w:val="22"/>
              </w:rPr>
              <w:t xml:space="preserve">The attack lasted two hours, but this account is mostly about what came after. What changed for civilians — and which of those changes do you think was hardest to live with?</w:t>
            </w:r>
          </w:p>
        </w:tc>
      </w:tr>
    </w:tbl>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FIVE — A MESS ATTENDANT, BATTLESHIP ROW</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The Navy I served in had rules about who could do what, and men who looked like me carried trays and shined shoes — we were not trained on the guns. When the attack came, the rules lasted about as long as the first explosion. I carried wounded men twice my size up ladders slick with oil and water. Around me, men were doing jobs no one had taught them, because the moment required it and they were there. I have heard people call what we did heroic. I think we simply refused to be useless. Afterward, the rules came back, for a time. But everyone who was there that morning had seen what was true, and you cannot unsee it.</w:t>
            </w:r>
          </w:p>
          <w:p>
            <w:pPr>
              <w:spacing w:after="20"/>
            </w:pPr>
            <w:r>
              <w:rPr>
                <w:b/>
                <w:bCs/>
                <w:color w:val="B22234"/>
              </w:rPr>
              <w:t xml:space="preserve">Reflect: </w:t>
            </w:r>
          </w:p>
          <w:p>
            <w:r>
              <w:rPr>
                <w:i/>
                <w:iCs/>
                <w:sz w:val="22"/>
                <w:szCs w:val="22"/>
              </w:rPr>
              <w:t xml:space="preserve">He says the rules “lasted about as long as the first explosion.” What does this account reveal about the difference between what people are permitted to do and what they are capable of?</w:t>
            </w:r>
          </w:p>
        </w:tc>
      </w:tr>
    </w:tbl>
    <w:p>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A1628" w:sz="6"/>
              <w:left w:val="single" w:color="0A1628" w:sz="6"/>
              <w:bottom w:val="single" w:color="0A1628" w:sz="6"/>
              <w:right w:val="single" w:color="0A1628" w:sz="6"/>
            </w:tcBorders>
            <w:shd w:fill="0A1628" w:val="clear"/>
            <w:tcMar>
              <w:top w:type="dxa" w:w="80"/>
              <w:left w:type="dxa" w:w="160"/>
              <w:bottom w:type="dxa" w:w="80"/>
              <w:right w:type="dxa" w:w="160"/>
            </w:tcMar>
          </w:tcPr>
          <w:p>
            <w:r>
              <w:rPr>
                <w:rFonts w:ascii="Arial" w:cs="Arial" w:eastAsia="Arial" w:hAnsi="Arial"/>
                <w:b/>
                <w:bCs/>
                <w:color w:val="FFFFFF"/>
                <w:sz w:val="19"/>
                <w:szCs w:val="19"/>
              </w:rPr>
              <w:t xml:space="preserve">TESTIMONY SIX — A SHIPYARD WORKER, PEARL HARBOR NAVY YARD</w:t>
            </w:r>
          </w:p>
        </w:tc>
      </w:tr>
      <w:tr>
        <w:tc>
          <w:tcPr>
            <w:tcW w:type="dxa" w:w="10080"/>
            <w:tcBorders>
              <w:top w:val="single" w:color="0A1628" w:sz="6"/>
              <w:left w:val="single" w:color="0A1628" w:sz="6"/>
              <w:bottom w:val="single" w:color="0A1628" w:sz="6"/>
              <w:right w:val="single" w:color="0A1628" w:sz="6"/>
            </w:tcBorders>
            <w:tcMar>
              <w:top w:type="dxa" w:w="140"/>
              <w:left w:type="dxa" w:w="160"/>
              <w:bottom w:type="dxa" w:w="140"/>
              <w:right w:type="dxa" w:w="160"/>
            </w:tcMar>
          </w:tcPr>
          <w:p>
            <w:pPr>
              <w:spacing w:after="160"/>
            </w:pPr>
            <w:r>
              <w:rPr>
                <w:sz w:val="23"/>
                <w:szCs w:val="23"/>
              </w:rPr>
              <w:t xml:space="preserve">I was a welder, a civilian — I built and repaired ships, I did not sail them. After December 7 we worked shifts I still find hard to believe, because the fleet that was supposed to fight the war was sitting on the bottom of our harbor. Ships the experts said would take two years to raise, we raised. Of the battleships sunk or damaged that morning, nearly all of them returned to the war. People remember the day of the attack, and they should. I would ask them to also remember the months after, when ordinary people with torches and cranes refused to let the story end where the enemy wrote it.</w:t>
            </w:r>
          </w:p>
          <w:p>
            <w:pPr>
              <w:spacing w:after="20"/>
            </w:pPr>
            <w:r>
              <w:rPr>
                <w:b/>
                <w:bCs/>
                <w:color w:val="B22234"/>
              </w:rPr>
              <w:t xml:space="preserve">Reflect: </w:t>
            </w:r>
          </w:p>
          <w:p>
            <w:r>
              <w:rPr>
                <w:i/>
                <w:iCs/>
                <w:sz w:val="22"/>
                <w:szCs w:val="22"/>
              </w:rPr>
              <w:t xml:space="preserve">Most accounts of Pearl Harbor end on December 7. This one begins there. Why does the recovery matter to how we remember the attack itself?</w:t>
            </w:r>
          </w:p>
        </w:tc>
      </w:tr>
    </w:tbl>
    <w:p>
      <w:pPr>
        <w:pBdr>
          <w:top w:val="single" w:color="CCCCCC" w:sz="6" w:space="6"/>
        </w:pBdr>
        <w:spacing w:before="360"/>
      </w:pPr>
      <w:r>
        <w:rPr>
          <w:rFonts w:ascii="Arial" w:cs="Arial" w:eastAsia="Arial" w:hAnsi="Arial"/>
          <w:color w:val="555555"/>
          <w:sz w:val="16"/>
          <w:szCs w:val="16"/>
        </w:rPr>
        <w:t xml:space="preserve">Harrison's Heroes  ·  harrisonjohnsonsheroes.com  ·  hj@harrisonjohnsonsheroes.com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27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Georgia" w:cs="Georgia" w:eastAsia="Georgia" w:hAnsi="Georgia"/>
      <w:b/>
      <w:bCs/>
      <w:color w:val="0A1628"/>
      <w:sz w:val="34"/>
      <w:szCs w:val="34"/>
    </w:rPr>
  </w:style>
  <w:style w:type="paragraph" w:styleId="Heading2">
    <w:name w:val="Heading 2"/>
    <w:basedOn w:val="Normal"/>
    <w:next w:val="Normal"/>
    <w:qFormat/>
    <w:pPr>
      <w:spacing w:after="120" w:before="280"/>
      <w:outlineLvl w:val="1"/>
    </w:pPr>
    <w:rPr>
      <w:rFonts w:ascii="Georgia" w:cs="Georgia" w:eastAsia="Georgia" w:hAnsi="Georgia"/>
      <w:b/>
      <w:bCs/>
      <w:color w:val="0A162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2026-06-11T00:21:19.526Z</dcterms:created>
  <dcterms:modified xsi:type="dcterms:W3CDTF">2026-06-11T00:21:19.526Z</dcterms:modified>
</cp:coreProperties>
</file>

<file path=docProps/custom.xml><?xml version="1.0" encoding="utf-8"?>
<Properties xmlns="http://schemas.openxmlformats.org/officeDocument/2006/custom-properties" xmlns:vt="http://schemas.openxmlformats.org/officeDocument/2006/docPropsVTypes"/>
</file>